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79" w:rsidRPr="00394897" w:rsidRDefault="00A90379" w:rsidP="00FB72E2">
      <w:pPr>
        <w:spacing w:line="380" w:lineRule="exact"/>
        <w:jc w:val="center"/>
        <w:rPr>
          <w:rFonts w:ascii="黑体" w:eastAsia="黑体" w:hint="eastAsia"/>
          <w:sz w:val="36"/>
          <w:szCs w:val="36"/>
        </w:rPr>
      </w:pPr>
      <w:r w:rsidRPr="00394897">
        <w:rPr>
          <w:rFonts w:ascii="黑体" w:eastAsia="黑体" w:hint="eastAsia"/>
          <w:sz w:val="36"/>
          <w:szCs w:val="36"/>
        </w:rPr>
        <w:t>四川富临实业集团有限公司</w:t>
      </w:r>
    </w:p>
    <w:p w:rsidR="00A90379" w:rsidRPr="00394897" w:rsidRDefault="00A90379" w:rsidP="00FB72E2">
      <w:pPr>
        <w:spacing w:line="380" w:lineRule="exact"/>
        <w:jc w:val="center"/>
        <w:rPr>
          <w:rFonts w:ascii="黑体" w:eastAsia="黑体" w:hint="eastAsia"/>
          <w:sz w:val="36"/>
          <w:szCs w:val="36"/>
        </w:rPr>
      </w:pPr>
      <w:r w:rsidRPr="00394897">
        <w:rPr>
          <w:rFonts w:ascii="黑体" w:eastAsia="黑体" w:hint="eastAsia"/>
          <w:sz w:val="36"/>
          <w:szCs w:val="36"/>
        </w:rPr>
        <w:t>2016年校园招聘</w:t>
      </w:r>
      <w:r w:rsidR="00394897" w:rsidRPr="00394897">
        <w:rPr>
          <w:rFonts w:ascii="黑体" w:eastAsia="黑体" w:hint="eastAsia"/>
          <w:sz w:val="36"/>
          <w:szCs w:val="36"/>
        </w:rPr>
        <w:t>简章</w:t>
      </w:r>
    </w:p>
    <w:p w:rsidR="00E21685" w:rsidRDefault="00E21685" w:rsidP="00FB72E2">
      <w:pPr>
        <w:spacing w:line="380" w:lineRule="exact"/>
        <w:ind w:firstLineChars="200" w:firstLine="482"/>
        <w:rPr>
          <w:rFonts w:asciiTheme="minorEastAsia" w:hAnsiTheme="minorEastAsia" w:hint="eastAsia"/>
          <w:b/>
          <w:sz w:val="24"/>
          <w:szCs w:val="24"/>
        </w:rPr>
      </w:pPr>
    </w:p>
    <w:p w:rsidR="001D5922" w:rsidRPr="00E21685" w:rsidRDefault="00394897" w:rsidP="00E21685">
      <w:pPr>
        <w:spacing w:line="380" w:lineRule="exact"/>
        <w:ind w:firstLineChars="200" w:firstLine="482"/>
        <w:rPr>
          <w:rFonts w:asciiTheme="minorEastAsia" w:hAnsiTheme="minorEastAsia" w:hint="eastAsia"/>
          <w:b/>
          <w:sz w:val="24"/>
          <w:szCs w:val="24"/>
        </w:rPr>
      </w:pPr>
      <w:r w:rsidRPr="00394897">
        <w:rPr>
          <w:rFonts w:asciiTheme="minorEastAsia" w:hAnsiTheme="minorEastAsia" w:hint="eastAsia"/>
          <w:b/>
          <w:sz w:val="24"/>
          <w:szCs w:val="24"/>
        </w:rPr>
        <w:t>一、企业简介</w:t>
      </w:r>
    </w:p>
    <w:p w:rsidR="00394897" w:rsidRPr="00394897" w:rsidRDefault="00394897" w:rsidP="00FB72E2">
      <w:pPr>
        <w:spacing w:line="380" w:lineRule="exact"/>
        <w:ind w:firstLineChars="200" w:firstLine="480"/>
        <w:rPr>
          <w:rFonts w:asciiTheme="minorEastAsia" w:hAnsiTheme="minorEastAsia" w:hint="eastAsia"/>
          <w:sz w:val="24"/>
          <w:szCs w:val="24"/>
        </w:rPr>
      </w:pPr>
      <w:r w:rsidRPr="00394897">
        <w:rPr>
          <w:rFonts w:asciiTheme="minorEastAsia" w:hAnsiTheme="minorEastAsia" w:hint="eastAsia"/>
          <w:sz w:val="24"/>
          <w:szCs w:val="24"/>
        </w:rPr>
        <w:t>四川富临实业集团有限公司 （以下简称富临集团）创立于1995年，主要产业分布在工业、房地产、现代服务业、能源、金融五大领域，员工1万余人。作为一家立足于市场竞争的综合性民营企业，致力于在各个环节上打造核心竞争能力，富临集团长期以来提供的优质产品和专业服务得到广大消费者的一致认同，享有良好声誉。</w:t>
      </w:r>
    </w:p>
    <w:p w:rsidR="00394897" w:rsidRPr="00394897" w:rsidRDefault="00394897" w:rsidP="00FB72E2">
      <w:pPr>
        <w:spacing w:line="380" w:lineRule="exact"/>
        <w:ind w:firstLineChars="200" w:firstLine="480"/>
        <w:rPr>
          <w:rFonts w:asciiTheme="minorEastAsia" w:hAnsiTheme="minorEastAsia" w:hint="eastAsia"/>
          <w:sz w:val="24"/>
          <w:szCs w:val="24"/>
        </w:rPr>
      </w:pPr>
      <w:r w:rsidRPr="00394897">
        <w:rPr>
          <w:rFonts w:asciiTheme="minorEastAsia" w:hAnsiTheme="minorEastAsia" w:hint="eastAsia"/>
          <w:sz w:val="24"/>
          <w:szCs w:val="24"/>
        </w:rPr>
        <w:t>富临集团坚持“以人为本，诚信敬业”的经营理念和“发展实业，造福社会”的企业宗旨，不懈推进战略转型和管理变革，实现了企业持续、健康、快速发展，是四川省委、省政府选定的 “79户大企业、大集团重点培育企业”。2014年，同时入围四川省培育大企业大集团联席会议办公室发布的“2014年度四川省大企业大集团培育”名单和“2014年度制造业100强”名单，位列2014年四川企业百强第41位；先后荣获“全国先进基层党组织”、“全国五一劳动奖状”、全国首批非公有制企业“双强百佳党组织”、“全国就业与社会保障先进民营企业”、“抗震救灾先进单位”等荣誉称号。</w:t>
      </w:r>
    </w:p>
    <w:p w:rsidR="00394897" w:rsidRPr="00394897" w:rsidRDefault="00394897" w:rsidP="00FB72E2">
      <w:pPr>
        <w:spacing w:line="380" w:lineRule="exact"/>
        <w:ind w:firstLineChars="200" w:firstLine="480"/>
        <w:rPr>
          <w:rFonts w:asciiTheme="minorEastAsia" w:hAnsiTheme="minorEastAsia" w:hint="eastAsia"/>
          <w:sz w:val="24"/>
          <w:szCs w:val="24"/>
        </w:rPr>
      </w:pPr>
      <w:r w:rsidRPr="00394897">
        <w:rPr>
          <w:rFonts w:asciiTheme="minorEastAsia" w:hAnsiTheme="minorEastAsia" w:hint="eastAsia"/>
          <w:sz w:val="24"/>
          <w:szCs w:val="24"/>
        </w:rPr>
        <w:t>企业创始人、董事长安治富先生先后担任绵阳市工商联主席，绵阳市人大常委，四川省企业联合会、四川省企业家协会理事会常务理事，四川省企业信用协会副会长，四川省总商会副会长，四川省政协常委，全国工商联常委等社会职务；曾被中央、省、市授予“优秀中国特色社会主义建设者”“全国五一劳动奖章”等多项荣誉称号。</w:t>
      </w:r>
    </w:p>
    <w:p w:rsidR="00394897" w:rsidRPr="00394897" w:rsidRDefault="00394897" w:rsidP="00FB72E2">
      <w:pPr>
        <w:spacing w:line="380" w:lineRule="exact"/>
        <w:ind w:firstLineChars="200" w:firstLine="480"/>
        <w:rPr>
          <w:rFonts w:asciiTheme="minorEastAsia" w:hAnsiTheme="minorEastAsia" w:hint="eastAsia"/>
          <w:sz w:val="24"/>
          <w:szCs w:val="24"/>
        </w:rPr>
      </w:pPr>
      <w:r w:rsidRPr="00394897">
        <w:rPr>
          <w:rFonts w:asciiTheme="minorEastAsia" w:hAnsiTheme="minorEastAsia" w:hint="eastAsia"/>
          <w:sz w:val="24"/>
          <w:szCs w:val="24"/>
        </w:rPr>
        <w:t>富临集团矢志将企业打造成受人尊敬的公司。在坚持发展的同时积极履行社会责任，先后重组、兼并了20多家国有、集体破产企业，安置下岗员工1万余人，常年为社会提供就业岗位近1.5万个。向公共卫生、残疾人事业、新农村建设、抗震救灾、体育事业、希望工程和关爱空巢老人等社会公益事业累计捐赠及投入超过2亿元。</w:t>
      </w:r>
    </w:p>
    <w:p w:rsidR="00394897" w:rsidRPr="00394897" w:rsidRDefault="00394897" w:rsidP="00FB72E2">
      <w:pPr>
        <w:spacing w:line="380" w:lineRule="exact"/>
        <w:ind w:firstLineChars="200" w:firstLine="480"/>
        <w:rPr>
          <w:rFonts w:asciiTheme="minorEastAsia" w:hAnsiTheme="minorEastAsia" w:hint="eastAsia"/>
          <w:sz w:val="24"/>
          <w:szCs w:val="24"/>
        </w:rPr>
      </w:pPr>
      <w:r w:rsidRPr="00394897">
        <w:rPr>
          <w:rFonts w:asciiTheme="minorEastAsia" w:hAnsiTheme="minorEastAsia" w:hint="eastAsia"/>
          <w:sz w:val="24"/>
          <w:szCs w:val="24"/>
        </w:rPr>
        <w:t>富临集团将推进企业发展、壮大作为第一要务。自创立以来，经营收入年均增长率保持在48%以上；累计缴纳税金超过30亿元，年均增长率保持在53%以上。所属富临运业（证券代码：002357）、富临精工（证券代码：300432）公司分别于2010年、2015年在深交所上市。</w:t>
      </w:r>
    </w:p>
    <w:p w:rsidR="00394897" w:rsidRDefault="00394897" w:rsidP="00FB72E2">
      <w:pPr>
        <w:spacing w:line="380" w:lineRule="exact"/>
        <w:ind w:firstLineChars="200" w:firstLine="480"/>
        <w:rPr>
          <w:rFonts w:asciiTheme="minorEastAsia" w:hAnsiTheme="minorEastAsia" w:hint="eastAsia"/>
          <w:sz w:val="24"/>
          <w:szCs w:val="24"/>
        </w:rPr>
      </w:pPr>
      <w:r w:rsidRPr="00394897">
        <w:rPr>
          <w:rFonts w:asciiTheme="minorEastAsia" w:hAnsiTheme="minorEastAsia" w:hint="eastAsia"/>
          <w:sz w:val="24"/>
          <w:szCs w:val="24"/>
        </w:rPr>
        <w:t>富临集团努力恪守企业公民的社会责任，致力于科学发展、和谐发展，打造长青基业，建设百年富临。</w:t>
      </w:r>
    </w:p>
    <w:p w:rsidR="00394897" w:rsidRDefault="00394897" w:rsidP="00FB72E2">
      <w:pPr>
        <w:spacing w:line="380" w:lineRule="exact"/>
        <w:ind w:firstLineChars="200" w:firstLine="480"/>
        <w:rPr>
          <w:rFonts w:asciiTheme="minorEastAsia" w:hAnsiTheme="minorEastAsia" w:hint="eastAsia"/>
          <w:sz w:val="24"/>
          <w:szCs w:val="24"/>
        </w:rPr>
      </w:pPr>
    </w:p>
    <w:p w:rsidR="00FB72E2" w:rsidRDefault="00FB72E2" w:rsidP="00FB72E2">
      <w:pPr>
        <w:spacing w:line="380" w:lineRule="exact"/>
        <w:ind w:firstLineChars="200" w:firstLine="480"/>
        <w:rPr>
          <w:rFonts w:asciiTheme="minorEastAsia" w:hAnsiTheme="minorEastAsia" w:hint="eastAsia"/>
          <w:sz w:val="24"/>
          <w:szCs w:val="24"/>
        </w:rPr>
      </w:pPr>
    </w:p>
    <w:p w:rsidR="00FB72E2" w:rsidRPr="00394897" w:rsidRDefault="00FB72E2" w:rsidP="00FB72E2">
      <w:pPr>
        <w:spacing w:line="380" w:lineRule="exact"/>
        <w:ind w:firstLineChars="200" w:firstLine="480"/>
        <w:rPr>
          <w:rFonts w:asciiTheme="minorEastAsia" w:hAnsiTheme="minorEastAsia" w:hint="eastAsia"/>
          <w:sz w:val="24"/>
          <w:szCs w:val="24"/>
        </w:rPr>
      </w:pPr>
    </w:p>
    <w:p w:rsidR="00394897" w:rsidRPr="00394897" w:rsidRDefault="00394897" w:rsidP="00FB72E2">
      <w:pPr>
        <w:spacing w:line="380" w:lineRule="exact"/>
        <w:jc w:val="left"/>
        <w:rPr>
          <w:rFonts w:asciiTheme="minorEastAsia" w:hAnsiTheme="minorEastAsia"/>
          <w:b/>
          <w:sz w:val="24"/>
          <w:szCs w:val="24"/>
        </w:rPr>
      </w:pPr>
      <w:r w:rsidRPr="00394897">
        <w:rPr>
          <w:rFonts w:asciiTheme="minorEastAsia" w:hAnsiTheme="minorEastAsia" w:hint="eastAsia"/>
          <w:b/>
          <w:sz w:val="24"/>
          <w:szCs w:val="24"/>
        </w:rPr>
        <w:lastRenderedPageBreak/>
        <w:t>二、招聘需求</w:t>
      </w:r>
    </w:p>
    <w:p w:rsidR="00A90379" w:rsidRPr="00394897" w:rsidRDefault="00394897" w:rsidP="00FB72E2">
      <w:pPr>
        <w:spacing w:line="380" w:lineRule="exact"/>
        <w:ind w:firstLineChars="200" w:firstLine="480"/>
        <w:rPr>
          <w:rFonts w:asciiTheme="minorEastAsia" w:hAnsiTheme="minorEastAsia"/>
          <w:sz w:val="24"/>
          <w:szCs w:val="24"/>
        </w:rPr>
      </w:pPr>
      <w:r w:rsidRPr="00394897">
        <w:rPr>
          <w:rFonts w:asciiTheme="minorEastAsia" w:hAnsiTheme="minorEastAsia" w:hint="eastAsia"/>
          <w:sz w:val="24"/>
          <w:szCs w:val="24"/>
        </w:rPr>
        <w:t>在校担任过学生会干部、学习成绩优秀、综合素质高以及具备良好的心理素质和抗压能力。具体需求专业如下：</w:t>
      </w:r>
    </w:p>
    <w:tbl>
      <w:tblPr>
        <w:tblW w:w="8095" w:type="dxa"/>
        <w:tblInd w:w="93" w:type="dxa"/>
        <w:tblLook w:val="04A0"/>
      </w:tblPr>
      <w:tblGrid>
        <w:gridCol w:w="2711"/>
        <w:gridCol w:w="3400"/>
        <w:gridCol w:w="1984"/>
      </w:tblGrid>
      <w:tr w:rsidR="00FB72E2" w:rsidRPr="00394897" w:rsidTr="00FB72E2">
        <w:trPr>
          <w:trHeight w:val="487"/>
        </w:trPr>
        <w:tc>
          <w:tcPr>
            <w:tcW w:w="2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b/>
                <w:bCs/>
                <w:color w:val="000000"/>
                <w:kern w:val="0"/>
                <w:sz w:val="24"/>
                <w:szCs w:val="24"/>
              </w:rPr>
            </w:pPr>
            <w:r w:rsidRPr="00394897">
              <w:rPr>
                <w:rFonts w:asciiTheme="minorEastAsia" w:hAnsiTheme="minorEastAsia" w:cs="宋体" w:hint="eastAsia"/>
                <w:b/>
                <w:bCs/>
                <w:color w:val="000000"/>
                <w:kern w:val="0"/>
                <w:sz w:val="24"/>
                <w:szCs w:val="24"/>
              </w:rPr>
              <w:t>单位</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b/>
                <w:bCs/>
                <w:color w:val="000000"/>
                <w:kern w:val="0"/>
                <w:sz w:val="24"/>
                <w:szCs w:val="24"/>
              </w:rPr>
            </w:pPr>
            <w:r w:rsidRPr="00394897">
              <w:rPr>
                <w:rFonts w:asciiTheme="minorEastAsia" w:hAnsiTheme="minorEastAsia" w:cs="宋体" w:hint="eastAsia"/>
                <w:b/>
                <w:bCs/>
                <w:color w:val="000000"/>
                <w:kern w:val="0"/>
                <w:sz w:val="24"/>
                <w:szCs w:val="24"/>
              </w:rPr>
              <w:t>需求专业</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b/>
                <w:bCs/>
                <w:color w:val="000000"/>
                <w:kern w:val="0"/>
                <w:sz w:val="24"/>
                <w:szCs w:val="24"/>
              </w:rPr>
            </w:pPr>
            <w:r w:rsidRPr="00394897">
              <w:rPr>
                <w:rFonts w:asciiTheme="minorEastAsia" w:hAnsiTheme="minorEastAsia" w:cs="宋体" w:hint="eastAsia"/>
                <w:b/>
                <w:bCs/>
                <w:color w:val="000000"/>
                <w:kern w:val="0"/>
                <w:sz w:val="24"/>
                <w:szCs w:val="24"/>
              </w:rPr>
              <w:t>需求数量</w:t>
            </w:r>
            <w:r w:rsidRPr="00394897">
              <w:rPr>
                <w:rFonts w:asciiTheme="minorEastAsia" w:hAnsiTheme="minorEastAsia" w:cs="宋体"/>
                <w:b/>
                <w:bCs/>
                <w:color w:val="000000"/>
                <w:kern w:val="0"/>
                <w:sz w:val="24"/>
                <w:szCs w:val="24"/>
              </w:rPr>
              <w:t>/人</w:t>
            </w:r>
          </w:p>
        </w:tc>
      </w:tr>
      <w:tr w:rsidR="00FB72E2" w:rsidRPr="00394897" w:rsidTr="00FB72E2">
        <w:trPr>
          <w:trHeight w:val="392"/>
        </w:trPr>
        <w:tc>
          <w:tcPr>
            <w:tcW w:w="2711" w:type="dxa"/>
            <w:vMerge w:val="restart"/>
            <w:tcBorders>
              <w:top w:val="single" w:sz="4" w:space="0" w:color="auto"/>
              <w:left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b/>
                <w:bCs/>
                <w:color w:val="000000"/>
                <w:kern w:val="0"/>
                <w:sz w:val="24"/>
                <w:szCs w:val="24"/>
              </w:rPr>
            </w:pPr>
            <w:r w:rsidRPr="00394897">
              <w:rPr>
                <w:rFonts w:asciiTheme="minorEastAsia" w:hAnsiTheme="minorEastAsia" w:cs="宋体" w:hint="eastAsia"/>
                <w:color w:val="000000"/>
                <w:kern w:val="0"/>
                <w:sz w:val="24"/>
                <w:szCs w:val="24"/>
              </w:rPr>
              <w:t>集团公司本部</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bCs/>
                <w:color w:val="000000"/>
                <w:kern w:val="0"/>
                <w:sz w:val="24"/>
                <w:szCs w:val="24"/>
              </w:rPr>
            </w:pPr>
            <w:r w:rsidRPr="00394897">
              <w:rPr>
                <w:rFonts w:asciiTheme="minorEastAsia" w:hAnsiTheme="minorEastAsia" w:cs="宋体" w:hint="eastAsia"/>
                <w:bCs/>
                <w:color w:val="000000"/>
                <w:kern w:val="0"/>
                <w:sz w:val="24"/>
                <w:szCs w:val="24"/>
              </w:rPr>
              <w:t>人力资源管理</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bCs/>
                <w:color w:val="000000"/>
                <w:kern w:val="0"/>
                <w:sz w:val="24"/>
                <w:szCs w:val="24"/>
              </w:rPr>
            </w:pPr>
            <w:r w:rsidRPr="00394897">
              <w:rPr>
                <w:rFonts w:asciiTheme="minorEastAsia" w:hAnsiTheme="minorEastAsia" w:cs="宋体"/>
                <w:bCs/>
                <w:color w:val="000000"/>
                <w:kern w:val="0"/>
                <w:sz w:val="24"/>
                <w:szCs w:val="24"/>
              </w:rPr>
              <w:t>1</w:t>
            </w:r>
          </w:p>
        </w:tc>
      </w:tr>
      <w:tr w:rsidR="00FB72E2" w:rsidRPr="00394897" w:rsidTr="00FB72E2">
        <w:trPr>
          <w:trHeight w:val="372"/>
        </w:trPr>
        <w:tc>
          <w:tcPr>
            <w:tcW w:w="2711" w:type="dxa"/>
            <w:vMerge/>
            <w:tcBorders>
              <w:left w:val="single" w:sz="4" w:space="0" w:color="auto"/>
              <w:right w:val="single" w:sz="4" w:space="0" w:color="auto"/>
            </w:tcBorders>
            <w:shd w:val="clear" w:color="auto" w:fill="auto"/>
            <w:noWrap/>
            <w:vAlign w:val="center"/>
            <w:hideMark/>
          </w:tcPr>
          <w:p w:rsidR="00FB72E2" w:rsidRPr="00394897" w:rsidRDefault="00FB72E2" w:rsidP="00FB72E2">
            <w:pPr>
              <w:keepNext/>
              <w:keepLines/>
              <w:widowControl/>
              <w:spacing w:before="340" w:after="330" w:line="380" w:lineRule="exact"/>
              <w:jc w:val="center"/>
              <w:rPr>
                <w:rFonts w:asciiTheme="minorEastAsia" w:hAnsiTheme="minorEastAsia" w:cs="宋体"/>
                <w:color w:val="000000"/>
                <w:kern w:val="0"/>
                <w:sz w:val="24"/>
                <w:szCs w:val="24"/>
              </w:rPr>
            </w:pP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bCs/>
                <w:color w:val="000000"/>
                <w:kern w:val="0"/>
                <w:sz w:val="24"/>
                <w:szCs w:val="24"/>
              </w:rPr>
            </w:pPr>
            <w:r w:rsidRPr="00394897">
              <w:rPr>
                <w:rFonts w:asciiTheme="minorEastAsia" w:hAnsiTheme="minorEastAsia" w:cs="宋体" w:hint="eastAsia"/>
                <w:bCs/>
                <w:color w:val="000000"/>
                <w:kern w:val="0"/>
                <w:sz w:val="24"/>
                <w:szCs w:val="24"/>
              </w:rPr>
              <w:t>企业管理（经营管理）</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bCs/>
                <w:color w:val="000000"/>
                <w:kern w:val="0"/>
                <w:sz w:val="24"/>
                <w:szCs w:val="24"/>
              </w:rPr>
            </w:pPr>
            <w:r w:rsidRPr="00394897">
              <w:rPr>
                <w:rFonts w:asciiTheme="minorEastAsia" w:hAnsiTheme="minorEastAsia" w:cs="宋体"/>
                <w:bCs/>
                <w:color w:val="000000"/>
                <w:kern w:val="0"/>
                <w:sz w:val="24"/>
                <w:szCs w:val="24"/>
              </w:rPr>
              <w:t>1</w:t>
            </w:r>
          </w:p>
        </w:tc>
      </w:tr>
      <w:tr w:rsidR="00FB72E2" w:rsidRPr="00394897" w:rsidTr="00FB72E2">
        <w:trPr>
          <w:trHeight w:val="377"/>
        </w:trPr>
        <w:tc>
          <w:tcPr>
            <w:tcW w:w="2711" w:type="dxa"/>
            <w:vMerge/>
            <w:tcBorders>
              <w:left w:val="single" w:sz="4" w:space="0" w:color="auto"/>
              <w:bottom w:val="single" w:sz="4" w:space="0" w:color="auto"/>
              <w:right w:val="single" w:sz="4" w:space="0" w:color="auto"/>
            </w:tcBorders>
            <w:shd w:val="clear" w:color="auto" w:fill="auto"/>
            <w:noWrap/>
            <w:vAlign w:val="center"/>
            <w:hideMark/>
          </w:tcPr>
          <w:p w:rsidR="00FB72E2" w:rsidRPr="00394897" w:rsidRDefault="00FB72E2" w:rsidP="00FB72E2">
            <w:pPr>
              <w:keepNext/>
              <w:keepLines/>
              <w:widowControl/>
              <w:spacing w:before="340" w:after="330" w:line="380" w:lineRule="exact"/>
              <w:jc w:val="center"/>
              <w:rPr>
                <w:rFonts w:asciiTheme="minorEastAsia" w:hAnsiTheme="minorEastAsia" w:cs="宋体"/>
                <w:color w:val="000000"/>
                <w:kern w:val="0"/>
                <w:sz w:val="24"/>
                <w:szCs w:val="24"/>
              </w:rPr>
            </w:pP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bCs/>
                <w:color w:val="000000"/>
                <w:kern w:val="0"/>
                <w:sz w:val="24"/>
                <w:szCs w:val="24"/>
              </w:rPr>
            </w:pPr>
            <w:r w:rsidRPr="00394897">
              <w:rPr>
                <w:rFonts w:asciiTheme="minorEastAsia" w:hAnsiTheme="minorEastAsia" w:cs="宋体" w:hint="eastAsia"/>
                <w:bCs/>
                <w:color w:val="000000"/>
                <w:kern w:val="0"/>
                <w:sz w:val="24"/>
                <w:szCs w:val="24"/>
              </w:rPr>
              <w:t>财务相关专业（资金方向）</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bCs/>
                <w:color w:val="000000"/>
                <w:kern w:val="0"/>
                <w:sz w:val="24"/>
                <w:szCs w:val="24"/>
              </w:rPr>
            </w:pPr>
            <w:r w:rsidRPr="00394897">
              <w:rPr>
                <w:rFonts w:asciiTheme="minorEastAsia" w:hAnsiTheme="minorEastAsia" w:cs="宋体"/>
                <w:bCs/>
                <w:color w:val="000000"/>
                <w:kern w:val="0"/>
                <w:sz w:val="24"/>
                <w:szCs w:val="24"/>
              </w:rPr>
              <w:t>3</w:t>
            </w:r>
          </w:p>
        </w:tc>
      </w:tr>
      <w:tr w:rsidR="00FB72E2" w:rsidRPr="00394897" w:rsidTr="00FB72E2">
        <w:trPr>
          <w:trHeight w:val="377"/>
        </w:trPr>
        <w:tc>
          <w:tcPr>
            <w:tcW w:w="2711" w:type="dxa"/>
            <w:tcBorders>
              <w:left w:val="single" w:sz="4" w:space="0" w:color="auto"/>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野马汽车</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汽车工程及相关专业</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5</w:t>
            </w:r>
          </w:p>
        </w:tc>
      </w:tr>
      <w:tr w:rsidR="00FB72E2" w:rsidRPr="00394897" w:rsidTr="00FB72E2">
        <w:trPr>
          <w:trHeight w:val="278"/>
        </w:trPr>
        <w:tc>
          <w:tcPr>
            <w:tcW w:w="2711" w:type="dxa"/>
            <w:vMerge w:val="restart"/>
            <w:tcBorders>
              <w:top w:val="nil"/>
              <w:left w:val="single" w:sz="4" w:space="0" w:color="auto"/>
              <w:right w:val="single" w:sz="4" w:space="0" w:color="auto"/>
            </w:tcBorders>
            <w:shd w:val="clear" w:color="auto" w:fill="auto"/>
            <w:noWrap/>
            <w:vAlign w:val="center"/>
            <w:hideMark/>
          </w:tcPr>
          <w:p w:rsidR="00FB72E2" w:rsidRPr="00394897" w:rsidRDefault="00FB72E2" w:rsidP="00FB72E2">
            <w:pPr>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富临精工</w:t>
            </w: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人力资源管理</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1</w:t>
            </w:r>
          </w:p>
        </w:tc>
      </w:tr>
      <w:tr w:rsidR="00FB72E2" w:rsidRPr="00394897" w:rsidTr="00FB72E2">
        <w:trPr>
          <w:trHeight w:val="278"/>
        </w:trPr>
        <w:tc>
          <w:tcPr>
            <w:tcW w:w="2711" w:type="dxa"/>
            <w:vMerge/>
            <w:tcBorders>
              <w:left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热能与动力</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kern w:val="0"/>
                <w:sz w:val="24"/>
                <w:szCs w:val="24"/>
              </w:rPr>
              <w:t>4</w:t>
            </w:r>
          </w:p>
        </w:tc>
      </w:tr>
      <w:tr w:rsidR="00FB72E2" w:rsidRPr="00394897" w:rsidTr="00FB72E2">
        <w:trPr>
          <w:trHeight w:val="278"/>
        </w:trPr>
        <w:tc>
          <w:tcPr>
            <w:tcW w:w="2711" w:type="dxa"/>
            <w:vMerge/>
            <w:tcBorders>
              <w:left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工业工程</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kern w:val="0"/>
                <w:sz w:val="24"/>
                <w:szCs w:val="24"/>
              </w:rPr>
              <w:t>4</w:t>
            </w:r>
          </w:p>
        </w:tc>
      </w:tr>
      <w:tr w:rsidR="00FB72E2" w:rsidRPr="00394897" w:rsidTr="00FB72E2">
        <w:trPr>
          <w:trHeight w:val="278"/>
        </w:trPr>
        <w:tc>
          <w:tcPr>
            <w:tcW w:w="2711" w:type="dxa"/>
            <w:vMerge/>
            <w:tcBorders>
              <w:left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计算机及相关专业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kern w:val="0"/>
                <w:sz w:val="24"/>
                <w:szCs w:val="24"/>
              </w:rPr>
              <w:t>2</w:t>
            </w:r>
          </w:p>
        </w:tc>
      </w:tr>
      <w:tr w:rsidR="00FB72E2" w:rsidRPr="00394897" w:rsidTr="00FB72E2">
        <w:trPr>
          <w:trHeight w:val="278"/>
        </w:trPr>
        <w:tc>
          <w:tcPr>
            <w:tcW w:w="2711" w:type="dxa"/>
            <w:vMerge/>
            <w:tcBorders>
              <w:left w:val="single" w:sz="4" w:space="0" w:color="auto"/>
              <w:bottom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机械设计及其自动化</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kern w:val="0"/>
                <w:sz w:val="24"/>
                <w:szCs w:val="24"/>
              </w:rPr>
              <w:t>4</w:t>
            </w:r>
          </w:p>
        </w:tc>
      </w:tr>
      <w:tr w:rsidR="00FB72E2" w:rsidRPr="00394897" w:rsidTr="00FB72E2">
        <w:trPr>
          <w:trHeight w:val="278"/>
        </w:trPr>
        <w:tc>
          <w:tcPr>
            <w:tcW w:w="2711" w:type="dxa"/>
            <w:vMerge w:val="restart"/>
            <w:tcBorders>
              <w:top w:val="nil"/>
              <w:left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成都物业</w:t>
            </w: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物业管理及相关专业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kern w:val="0"/>
                <w:sz w:val="24"/>
                <w:szCs w:val="24"/>
              </w:rPr>
              <w:t>5</w:t>
            </w:r>
          </w:p>
        </w:tc>
      </w:tr>
      <w:tr w:rsidR="00FB72E2" w:rsidRPr="00394897" w:rsidTr="00FB72E2">
        <w:trPr>
          <w:trHeight w:val="278"/>
        </w:trPr>
        <w:tc>
          <w:tcPr>
            <w:tcW w:w="2711" w:type="dxa"/>
            <w:vMerge/>
            <w:tcBorders>
              <w:left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土木工程</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kern w:val="0"/>
                <w:sz w:val="24"/>
                <w:szCs w:val="24"/>
              </w:rPr>
              <w:t>2</w:t>
            </w:r>
          </w:p>
        </w:tc>
      </w:tr>
      <w:tr w:rsidR="00FB72E2" w:rsidRPr="00394897" w:rsidTr="00FB72E2">
        <w:trPr>
          <w:trHeight w:val="459"/>
        </w:trPr>
        <w:tc>
          <w:tcPr>
            <w:tcW w:w="2711" w:type="dxa"/>
            <w:vMerge/>
            <w:tcBorders>
              <w:left w:val="single" w:sz="4" w:space="0" w:color="auto"/>
              <w:bottom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hint="eastAsia"/>
                <w:kern w:val="0"/>
                <w:sz w:val="24"/>
                <w:szCs w:val="24"/>
              </w:rPr>
              <w:t>会计学</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Del="00DE6C25" w:rsidRDefault="00FB72E2" w:rsidP="00FB72E2">
            <w:pPr>
              <w:widowControl/>
              <w:spacing w:line="380" w:lineRule="exact"/>
              <w:jc w:val="center"/>
              <w:rPr>
                <w:rFonts w:asciiTheme="minorEastAsia" w:hAnsiTheme="minorEastAsia" w:cs="宋体"/>
                <w:kern w:val="0"/>
                <w:sz w:val="24"/>
                <w:szCs w:val="24"/>
              </w:rPr>
            </w:pPr>
            <w:r w:rsidRPr="00394897">
              <w:rPr>
                <w:rFonts w:asciiTheme="minorEastAsia" w:hAnsiTheme="minorEastAsia" w:cs="宋体"/>
                <w:kern w:val="0"/>
                <w:sz w:val="24"/>
                <w:szCs w:val="24"/>
              </w:rPr>
              <w:t>2</w:t>
            </w:r>
          </w:p>
        </w:tc>
      </w:tr>
      <w:tr w:rsidR="00FB72E2" w:rsidRPr="00394897" w:rsidTr="00FB72E2">
        <w:trPr>
          <w:trHeight w:val="293"/>
        </w:trPr>
        <w:tc>
          <w:tcPr>
            <w:tcW w:w="2711" w:type="dxa"/>
            <w:vMerge w:val="restart"/>
            <w:tcBorders>
              <w:top w:val="nil"/>
              <w:left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绵阳物业</w:t>
            </w: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kern w:val="0"/>
                <w:sz w:val="24"/>
                <w:szCs w:val="24"/>
              </w:rPr>
              <w:t>物业管理及相关专业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6</w:t>
            </w:r>
          </w:p>
        </w:tc>
      </w:tr>
      <w:tr w:rsidR="00FB72E2" w:rsidRPr="00394897" w:rsidTr="00FB72E2">
        <w:trPr>
          <w:trHeight w:val="258"/>
        </w:trPr>
        <w:tc>
          <w:tcPr>
            <w:tcW w:w="2711" w:type="dxa"/>
            <w:vMerge/>
            <w:tcBorders>
              <w:left w:val="single" w:sz="4" w:space="0" w:color="auto"/>
              <w:bottom w:val="single" w:sz="4" w:space="0" w:color="auto"/>
              <w:right w:val="single" w:sz="4" w:space="0" w:color="auto"/>
            </w:tcBorders>
            <w:shd w:val="clear" w:color="auto" w:fill="auto"/>
            <w:noWrap/>
            <w:vAlign w:val="center"/>
            <w:hideMark/>
          </w:tcPr>
          <w:p w:rsidR="00FB72E2" w:rsidRPr="00394897" w:rsidRDefault="00FB72E2" w:rsidP="00FB72E2">
            <w:pPr>
              <w:keepNext/>
              <w:keepLines/>
              <w:widowControl/>
              <w:spacing w:before="340" w:after="330" w:line="380" w:lineRule="exact"/>
              <w:jc w:val="center"/>
              <w:rPr>
                <w:rFonts w:asciiTheme="minorEastAsia" w:hAnsiTheme="minorEastAsia" w:cs="宋体"/>
                <w:color w:val="000000"/>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计算机及相关专业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4</w:t>
            </w:r>
          </w:p>
        </w:tc>
      </w:tr>
      <w:tr w:rsidR="00FB72E2" w:rsidRPr="00394897" w:rsidTr="00FB72E2">
        <w:trPr>
          <w:trHeight w:val="278"/>
        </w:trPr>
        <w:tc>
          <w:tcPr>
            <w:tcW w:w="27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富临运业</w:t>
            </w:r>
          </w:p>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（富临长运）</w:t>
            </w: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人力资源管理</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11</w:t>
            </w:r>
          </w:p>
        </w:tc>
      </w:tr>
      <w:tr w:rsidR="00FB72E2" w:rsidRPr="00394897" w:rsidTr="00FB72E2">
        <w:trPr>
          <w:trHeight w:val="278"/>
        </w:trPr>
        <w:tc>
          <w:tcPr>
            <w:tcW w:w="2711" w:type="dxa"/>
            <w:vMerge/>
            <w:tcBorders>
              <w:top w:val="nil"/>
              <w:left w:val="single" w:sz="4" w:space="0" w:color="auto"/>
              <w:bottom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color w:val="000000"/>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经营管理相关专业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5</w:t>
            </w:r>
          </w:p>
        </w:tc>
      </w:tr>
      <w:tr w:rsidR="00FB72E2" w:rsidRPr="00394897" w:rsidTr="00FB72E2">
        <w:trPr>
          <w:trHeight w:val="278"/>
        </w:trPr>
        <w:tc>
          <w:tcPr>
            <w:tcW w:w="2711" w:type="dxa"/>
            <w:vMerge/>
            <w:tcBorders>
              <w:top w:val="nil"/>
              <w:left w:val="single" w:sz="4" w:space="0" w:color="auto"/>
              <w:bottom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color w:val="000000"/>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安全管理相关专业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5</w:t>
            </w:r>
          </w:p>
        </w:tc>
      </w:tr>
      <w:tr w:rsidR="00FB72E2" w:rsidRPr="00394897" w:rsidTr="00FB72E2">
        <w:trPr>
          <w:trHeight w:val="278"/>
        </w:trPr>
        <w:tc>
          <w:tcPr>
            <w:tcW w:w="2711" w:type="dxa"/>
            <w:vMerge/>
            <w:tcBorders>
              <w:top w:val="nil"/>
              <w:left w:val="single" w:sz="4" w:space="0" w:color="auto"/>
              <w:bottom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color w:val="000000"/>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计算机及相关专业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2</w:t>
            </w:r>
          </w:p>
        </w:tc>
      </w:tr>
      <w:tr w:rsidR="00FB72E2" w:rsidRPr="00394897" w:rsidTr="00FB72E2">
        <w:trPr>
          <w:trHeight w:val="278"/>
        </w:trPr>
        <w:tc>
          <w:tcPr>
            <w:tcW w:w="2711" w:type="dxa"/>
            <w:vMerge/>
            <w:tcBorders>
              <w:top w:val="nil"/>
              <w:left w:val="single" w:sz="4" w:space="0" w:color="auto"/>
              <w:bottom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color w:val="000000"/>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交通运输管理</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4</w:t>
            </w:r>
          </w:p>
        </w:tc>
      </w:tr>
      <w:tr w:rsidR="00FB72E2" w:rsidRPr="00394897" w:rsidTr="00FB72E2">
        <w:trPr>
          <w:trHeight w:val="278"/>
        </w:trPr>
        <w:tc>
          <w:tcPr>
            <w:tcW w:w="2711" w:type="dxa"/>
            <w:vMerge/>
            <w:tcBorders>
              <w:top w:val="nil"/>
              <w:left w:val="single" w:sz="4" w:space="0" w:color="auto"/>
              <w:bottom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color w:val="000000"/>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行政管理</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3</w:t>
            </w:r>
          </w:p>
        </w:tc>
      </w:tr>
      <w:tr w:rsidR="00FB72E2" w:rsidRPr="00394897" w:rsidTr="00FB72E2">
        <w:trPr>
          <w:trHeight w:val="396"/>
        </w:trPr>
        <w:tc>
          <w:tcPr>
            <w:tcW w:w="2711" w:type="dxa"/>
            <w:tcBorders>
              <w:top w:val="nil"/>
              <w:left w:val="single" w:sz="4" w:space="0" w:color="auto"/>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酒店公司</w:t>
            </w: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酒店管理</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5</w:t>
            </w:r>
          </w:p>
        </w:tc>
      </w:tr>
      <w:tr w:rsidR="00FB72E2" w:rsidRPr="00394897" w:rsidTr="00FB72E2">
        <w:trPr>
          <w:trHeight w:val="375"/>
        </w:trPr>
        <w:tc>
          <w:tcPr>
            <w:tcW w:w="2711" w:type="dxa"/>
            <w:tcBorders>
              <w:top w:val="nil"/>
              <w:left w:val="single" w:sz="4" w:space="0" w:color="auto"/>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富临医院</w:t>
            </w: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临床医学</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5</w:t>
            </w:r>
          </w:p>
        </w:tc>
      </w:tr>
      <w:tr w:rsidR="00FB72E2" w:rsidRPr="00394897" w:rsidTr="00FB72E2">
        <w:trPr>
          <w:trHeight w:val="278"/>
        </w:trPr>
        <w:tc>
          <w:tcPr>
            <w:tcW w:w="27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资产公司</w:t>
            </w: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物业管理（商业方向）</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2</w:t>
            </w:r>
          </w:p>
        </w:tc>
      </w:tr>
      <w:tr w:rsidR="00FB72E2" w:rsidRPr="00394897" w:rsidTr="00FB72E2">
        <w:trPr>
          <w:trHeight w:val="278"/>
        </w:trPr>
        <w:tc>
          <w:tcPr>
            <w:tcW w:w="2711" w:type="dxa"/>
            <w:vMerge/>
            <w:tcBorders>
              <w:top w:val="nil"/>
              <w:left w:val="single" w:sz="4" w:space="0" w:color="auto"/>
              <w:bottom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color w:val="000000"/>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电子商务</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1</w:t>
            </w:r>
          </w:p>
        </w:tc>
      </w:tr>
      <w:tr w:rsidR="00FB72E2" w:rsidRPr="00394897" w:rsidTr="00FB72E2">
        <w:trPr>
          <w:trHeight w:val="278"/>
        </w:trPr>
        <w:tc>
          <w:tcPr>
            <w:tcW w:w="2711" w:type="dxa"/>
            <w:vMerge/>
            <w:tcBorders>
              <w:top w:val="nil"/>
              <w:left w:val="single" w:sz="4" w:space="0" w:color="auto"/>
              <w:bottom w:val="single" w:sz="4" w:space="0" w:color="auto"/>
              <w:right w:val="single" w:sz="4" w:space="0" w:color="auto"/>
            </w:tcBorders>
            <w:vAlign w:val="center"/>
            <w:hideMark/>
          </w:tcPr>
          <w:p w:rsidR="00FB72E2" w:rsidRPr="00394897" w:rsidRDefault="00FB72E2" w:rsidP="00FB72E2">
            <w:pPr>
              <w:keepNext/>
              <w:keepLines/>
              <w:widowControl/>
              <w:spacing w:before="340" w:after="330" w:line="380" w:lineRule="exact"/>
              <w:jc w:val="left"/>
              <w:rPr>
                <w:rFonts w:asciiTheme="minorEastAsia" w:hAnsiTheme="minorEastAsia" w:cs="宋体"/>
                <w:color w:val="000000"/>
                <w:kern w:val="0"/>
                <w:sz w:val="24"/>
                <w:szCs w:val="24"/>
              </w:rPr>
            </w:pPr>
          </w:p>
        </w:tc>
        <w:tc>
          <w:tcPr>
            <w:tcW w:w="3400"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hint="eastAsia"/>
                <w:color w:val="000000"/>
                <w:kern w:val="0"/>
                <w:sz w:val="24"/>
                <w:szCs w:val="24"/>
              </w:rPr>
              <w:t>运营管理（房产方向）</w:t>
            </w:r>
          </w:p>
        </w:tc>
        <w:tc>
          <w:tcPr>
            <w:tcW w:w="1984" w:type="dxa"/>
            <w:tcBorders>
              <w:top w:val="nil"/>
              <w:left w:val="nil"/>
              <w:bottom w:val="single" w:sz="4" w:space="0" w:color="auto"/>
              <w:right w:val="single" w:sz="4" w:space="0" w:color="auto"/>
            </w:tcBorders>
            <w:shd w:val="clear" w:color="auto" w:fill="auto"/>
            <w:noWrap/>
            <w:vAlign w:val="center"/>
            <w:hideMark/>
          </w:tcPr>
          <w:p w:rsidR="00FB72E2" w:rsidRPr="00394897" w:rsidRDefault="00FB72E2" w:rsidP="00FB72E2">
            <w:pPr>
              <w:widowControl/>
              <w:spacing w:line="380" w:lineRule="exact"/>
              <w:jc w:val="center"/>
              <w:rPr>
                <w:rFonts w:asciiTheme="minorEastAsia" w:hAnsiTheme="minorEastAsia" w:cs="宋体"/>
                <w:color w:val="000000"/>
                <w:kern w:val="0"/>
                <w:sz w:val="24"/>
                <w:szCs w:val="24"/>
              </w:rPr>
            </w:pPr>
            <w:r w:rsidRPr="00394897">
              <w:rPr>
                <w:rFonts w:asciiTheme="minorEastAsia" w:hAnsiTheme="minorEastAsia" w:cs="宋体"/>
                <w:color w:val="000000"/>
                <w:kern w:val="0"/>
                <w:sz w:val="24"/>
                <w:szCs w:val="24"/>
              </w:rPr>
              <w:t>1</w:t>
            </w:r>
          </w:p>
        </w:tc>
      </w:tr>
    </w:tbl>
    <w:p w:rsidR="00A90379" w:rsidRPr="00394897" w:rsidRDefault="00A90379" w:rsidP="00FB72E2">
      <w:pPr>
        <w:spacing w:line="380" w:lineRule="exact"/>
        <w:rPr>
          <w:rFonts w:asciiTheme="minorEastAsia" w:hAnsiTheme="minorEastAsia"/>
          <w:b/>
          <w:sz w:val="24"/>
          <w:szCs w:val="24"/>
        </w:rPr>
      </w:pPr>
    </w:p>
    <w:p w:rsidR="00394897" w:rsidRPr="00FB72E2" w:rsidRDefault="00394897" w:rsidP="00FB72E2">
      <w:pPr>
        <w:spacing w:line="380" w:lineRule="exact"/>
        <w:rPr>
          <w:rFonts w:asciiTheme="minorEastAsia" w:hAnsiTheme="minorEastAsia" w:hint="eastAsia"/>
          <w:b/>
          <w:sz w:val="24"/>
          <w:szCs w:val="24"/>
        </w:rPr>
      </w:pPr>
      <w:r w:rsidRPr="00394897">
        <w:rPr>
          <w:rFonts w:asciiTheme="minorEastAsia" w:hAnsiTheme="minorEastAsia" w:hint="eastAsia"/>
          <w:b/>
          <w:sz w:val="24"/>
          <w:szCs w:val="24"/>
        </w:rPr>
        <w:t>三、</w:t>
      </w:r>
      <w:r w:rsidRPr="00394897">
        <w:rPr>
          <w:rFonts w:asciiTheme="minorEastAsia" w:hAnsiTheme="minorEastAsia"/>
          <w:b/>
          <w:sz w:val="24"/>
          <w:szCs w:val="24"/>
        </w:rPr>
        <w:t>应聘</w:t>
      </w:r>
      <w:r w:rsidRPr="00394897">
        <w:rPr>
          <w:rFonts w:asciiTheme="minorEastAsia" w:hAnsiTheme="minorEastAsia" w:hint="eastAsia"/>
          <w:b/>
          <w:sz w:val="24"/>
          <w:szCs w:val="24"/>
        </w:rPr>
        <w:t>事宜</w:t>
      </w:r>
      <w:r w:rsidRPr="00394897">
        <w:rPr>
          <w:rFonts w:asciiTheme="minorEastAsia" w:hAnsiTheme="minorEastAsia"/>
          <w:sz w:val="24"/>
          <w:szCs w:val="24"/>
        </w:rPr>
        <w:br/>
        <w:t>1、现场投递：毕业生宣讲会、双选会现场投递简历。</w:t>
      </w:r>
      <w:r w:rsidRPr="00394897">
        <w:rPr>
          <w:rFonts w:asciiTheme="minorEastAsia" w:hAnsiTheme="minorEastAsia"/>
          <w:sz w:val="24"/>
          <w:szCs w:val="24"/>
        </w:rPr>
        <w:br/>
        <w:t>2、邮箱投递：请将电子简历投递至公司招聘邮箱：fulin_hr@163.com</w:t>
      </w:r>
      <w:r w:rsidRPr="00394897">
        <w:rPr>
          <w:rFonts w:asciiTheme="minorEastAsia" w:hAnsiTheme="minorEastAsia"/>
          <w:sz w:val="24"/>
          <w:szCs w:val="24"/>
        </w:rPr>
        <w:br/>
        <w:t>邮件</w:t>
      </w:r>
      <w:r w:rsidRPr="00394897">
        <w:rPr>
          <w:rFonts w:asciiTheme="minorEastAsia" w:hAnsiTheme="minorEastAsia"/>
          <w:b/>
          <w:color w:val="FF0000"/>
          <w:sz w:val="24"/>
          <w:szCs w:val="24"/>
        </w:rPr>
        <w:t>主题及简历标题</w:t>
      </w:r>
      <w:r w:rsidRPr="00394897">
        <w:rPr>
          <w:rFonts w:asciiTheme="minorEastAsia" w:hAnsiTheme="minorEastAsia"/>
          <w:sz w:val="24"/>
          <w:szCs w:val="24"/>
        </w:rPr>
        <w:t>请注明“应聘单位+应聘专业+姓名+学校+专业”</w:t>
      </w:r>
      <w:r w:rsidRPr="00394897">
        <w:rPr>
          <w:rFonts w:asciiTheme="minorEastAsia" w:hAnsiTheme="minorEastAsia" w:hint="eastAsia"/>
          <w:sz w:val="24"/>
          <w:szCs w:val="24"/>
        </w:rPr>
        <w:t>。</w:t>
      </w:r>
    </w:p>
    <w:p w:rsidR="00394897" w:rsidRPr="00394897" w:rsidRDefault="00394897" w:rsidP="00FB72E2">
      <w:pPr>
        <w:spacing w:line="380" w:lineRule="exact"/>
        <w:rPr>
          <w:rFonts w:asciiTheme="minorEastAsia" w:hAnsiTheme="minorEastAsia"/>
          <w:sz w:val="24"/>
          <w:szCs w:val="24"/>
        </w:rPr>
      </w:pPr>
      <w:r w:rsidRPr="00394897">
        <w:rPr>
          <w:rFonts w:asciiTheme="minorEastAsia" w:hAnsiTheme="minorEastAsia" w:hint="eastAsia"/>
          <w:sz w:val="24"/>
          <w:szCs w:val="24"/>
        </w:rPr>
        <w:t>3、应聘流程：投递简历——参加宣讲会——初试——复试——录用通知。</w:t>
      </w:r>
    </w:p>
    <w:sectPr w:rsidR="00394897" w:rsidRPr="00394897" w:rsidSect="005163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144" w:rsidRDefault="000F5144" w:rsidP="00A90379">
      <w:r>
        <w:separator/>
      </w:r>
    </w:p>
  </w:endnote>
  <w:endnote w:type="continuationSeparator" w:id="1">
    <w:p w:rsidR="000F5144" w:rsidRDefault="000F5144" w:rsidP="00A903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144" w:rsidRDefault="000F5144" w:rsidP="00A90379">
      <w:r>
        <w:separator/>
      </w:r>
    </w:p>
  </w:footnote>
  <w:footnote w:type="continuationSeparator" w:id="1">
    <w:p w:rsidR="000F5144" w:rsidRDefault="000F5144" w:rsidP="00A903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0379"/>
    <w:rsid w:val="000F5144"/>
    <w:rsid w:val="00123DBC"/>
    <w:rsid w:val="001D5922"/>
    <w:rsid w:val="00251525"/>
    <w:rsid w:val="00394897"/>
    <w:rsid w:val="00417D57"/>
    <w:rsid w:val="005868B9"/>
    <w:rsid w:val="008F522D"/>
    <w:rsid w:val="009223C4"/>
    <w:rsid w:val="00A90379"/>
    <w:rsid w:val="00AD4B66"/>
    <w:rsid w:val="00E21685"/>
    <w:rsid w:val="00FB72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8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0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0379"/>
    <w:rPr>
      <w:sz w:val="18"/>
      <w:szCs w:val="18"/>
    </w:rPr>
  </w:style>
  <w:style w:type="paragraph" w:styleId="a4">
    <w:name w:val="footer"/>
    <w:basedOn w:val="a"/>
    <w:link w:val="Char0"/>
    <w:uiPriority w:val="99"/>
    <w:semiHidden/>
    <w:unhideWhenUsed/>
    <w:rsid w:val="00A903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0379"/>
    <w:rPr>
      <w:sz w:val="18"/>
      <w:szCs w:val="18"/>
    </w:rPr>
  </w:style>
  <w:style w:type="character" w:styleId="a5">
    <w:name w:val="Strong"/>
    <w:basedOn w:val="a0"/>
    <w:uiPriority w:val="22"/>
    <w:qFormat/>
    <w:rsid w:val="00394897"/>
    <w:rPr>
      <w:b/>
      <w:bCs/>
    </w:rPr>
  </w:style>
  <w:style w:type="character" w:customStyle="1" w:styleId="apple-converted-space">
    <w:name w:val="apple-converted-space"/>
    <w:basedOn w:val="a0"/>
    <w:rsid w:val="003948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222</Words>
  <Characters>1269</Characters>
  <Application>Microsoft Office Word</Application>
  <DocSecurity>0</DocSecurity>
  <Lines>10</Lines>
  <Paragraphs>2</Paragraphs>
  <ScaleCrop>false</ScaleCrop>
  <Company>微软中国</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邓佳菱</dc:creator>
  <cp:keywords/>
  <dc:description/>
  <cp:lastModifiedBy>邓佳菱</cp:lastModifiedBy>
  <cp:revision>7</cp:revision>
  <dcterms:created xsi:type="dcterms:W3CDTF">2015-09-14T06:57:00Z</dcterms:created>
  <dcterms:modified xsi:type="dcterms:W3CDTF">2015-09-16T07:49:00Z</dcterms:modified>
</cp:coreProperties>
</file>